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DE9" w:rsidRDefault="00482FF2" w:rsidP="00494E6D">
      <w:pPr>
        <w:pStyle w:val="Titolo1"/>
        <w:spacing w:after="0"/>
        <w:jc w:val="center"/>
        <w:rPr>
          <w:color w:val="0079C2"/>
          <w:sz w:val="36"/>
          <w:szCs w:val="36"/>
          <w:lang w:val="it-IT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85.3pt;margin-top:14.65pt;width:97.65pt;height:97.05pt;z-index:1;mso-position-horizontal-relative:text;mso-position-vertical-relative:text;mso-width-relative:page;mso-height-relative:page">
            <v:imagedata r:id="rId7" o:title="Delta_Monitor_Topcon"/>
            <w10:wrap type="square"/>
          </v:shape>
        </w:pict>
      </w:r>
    </w:p>
    <w:p w:rsidR="00482FF2" w:rsidRDefault="00482FF2" w:rsidP="009A0BF0">
      <w:pPr>
        <w:tabs>
          <w:tab w:val="left" w:pos="270"/>
        </w:tabs>
        <w:spacing w:line="276" w:lineRule="auto"/>
        <w:jc w:val="center"/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</w:pPr>
    </w:p>
    <w:p w:rsidR="00482FF2" w:rsidRDefault="00482FF2" w:rsidP="009A0BF0">
      <w:pPr>
        <w:tabs>
          <w:tab w:val="left" w:pos="270"/>
        </w:tabs>
        <w:spacing w:line="276" w:lineRule="auto"/>
        <w:jc w:val="center"/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</w:pPr>
    </w:p>
    <w:p w:rsidR="00482FF2" w:rsidRDefault="00482FF2" w:rsidP="009A0BF0">
      <w:pPr>
        <w:tabs>
          <w:tab w:val="left" w:pos="270"/>
        </w:tabs>
        <w:spacing w:line="276" w:lineRule="auto"/>
        <w:jc w:val="center"/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</w:pPr>
    </w:p>
    <w:p w:rsidR="00E92FC2" w:rsidRPr="002739DA" w:rsidRDefault="00482FF2" w:rsidP="009A0BF0">
      <w:pPr>
        <w:tabs>
          <w:tab w:val="left" w:pos="270"/>
        </w:tabs>
        <w:spacing w:line="276" w:lineRule="auto"/>
        <w:jc w:val="center"/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</w:pPr>
      <w:r w:rsidRPr="00482FF2"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  <w:t>Topcon presenta nuove funzioni avanzate per il sistema di monitoraggio delle deformazioni</w:t>
      </w:r>
      <w:r w:rsidRPr="00482FF2">
        <w:rPr>
          <w:rFonts w:ascii="Arial" w:eastAsia="PMingLiU" w:hAnsi="Arial"/>
          <w:b/>
          <w:bCs/>
          <w:color w:val="0079C2"/>
          <w:sz w:val="36"/>
          <w:szCs w:val="36"/>
        </w:rPr>
        <w:fldChar w:fldCharType="begin"/>
      </w:r>
      <w:r w:rsidRPr="00482FF2"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  <w:instrText xml:space="preserve"> SUBJECT  \* MERGEFORMAT </w:instrText>
      </w:r>
      <w:r w:rsidRPr="00482FF2"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  <w:fldChar w:fldCharType="end"/>
      </w:r>
    </w:p>
    <w:p w:rsid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482FF2" w:rsidRPr="00482FF2" w:rsidRDefault="00482FF2" w:rsidP="00482FF2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482FF2">
        <w:rPr>
          <w:rFonts w:ascii="Arial" w:eastAsia="MS Mincho" w:hAnsi="Arial" w:cs="Arial"/>
          <w:i/>
          <w:sz w:val="20"/>
          <w:szCs w:val="20"/>
          <w:lang w:val="it-IT"/>
        </w:rPr>
        <w:t xml:space="preserve">LIVERMORE, </w:t>
      </w:r>
      <w:proofErr w:type="spellStart"/>
      <w:r w:rsidRPr="00482FF2">
        <w:rPr>
          <w:rFonts w:ascii="Arial" w:eastAsia="MS Mincho" w:hAnsi="Arial" w:cs="Arial"/>
          <w:i/>
          <w:sz w:val="20"/>
          <w:szCs w:val="20"/>
          <w:lang w:val="it-IT"/>
        </w:rPr>
        <w:t>Calif</w:t>
      </w:r>
      <w:proofErr w:type="spellEnd"/>
      <w:r w:rsidRPr="00482FF2">
        <w:rPr>
          <w:rFonts w:ascii="Arial" w:eastAsia="MS Mincho" w:hAnsi="Arial" w:cs="Arial"/>
          <w:i/>
          <w:sz w:val="20"/>
          <w:szCs w:val="20"/>
          <w:lang w:val="it-IT"/>
        </w:rPr>
        <w:t xml:space="preserve">., USA / CAPELLE A/D IJSSEL, Paesi </w:t>
      </w:r>
      <w:proofErr w:type="gramStart"/>
      <w:r w:rsidRPr="00482FF2">
        <w:rPr>
          <w:rFonts w:ascii="Arial" w:eastAsia="MS Mincho" w:hAnsi="Arial" w:cs="Arial"/>
          <w:i/>
          <w:sz w:val="20"/>
          <w:szCs w:val="20"/>
          <w:lang w:val="it-IT"/>
        </w:rPr>
        <w:t>Bassi  –</w:t>
      </w:r>
      <w:proofErr w:type="gramEnd"/>
      <w:r w:rsidRPr="00482FF2">
        <w:rPr>
          <w:rFonts w:ascii="Arial" w:eastAsia="MS Mincho" w:hAnsi="Arial" w:cs="Arial"/>
          <w:i/>
          <w:sz w:val="20"/>
          <w:szCs w:val="20"/>
          <w:lang w:val="it-IT"/>
        </w:rPr>
        <w:t xml:space="preserve"> Martedì 26 settembre 2017</w:t>
      </w:r>
      <w:r w:rsidRPr="00482FF2">
        <w:rPr>
          <w:rFonts w:ascii="Arial" w:eastAsia="MS Mincho" w:hAnsi="Arial" w:cs="Arial"/>
          <w:sz w:val="20"/>
          <w:szCs w:val="20"/>
          <w:lang w:val="it-IT"/>
        </w:rPr>
        <w:t xml:space="preserve"> – Topcon Positioning Group presenta aggiornamenti del suo sistema di monitoraggio delle deformazioni </w:t>
      </w:r>
      <w:hyperlink r:id="rId8" w:history="1">
        <w:r w:rsidRPr="00482FF2">
          <w:rPr>
            <w:rStyle w:val="Collegamentoipertestuale"/>
            <w:rFonts w:ascii="Arial" w:eastAsia="MS Mincho" w:hAnsi="Arial" w:cs="Arial"/>
            <w:sz w:val="20"/>
            <w:szCs w:val="20"/>
            <w:lang w:val="it-IT"/>
          </w:rPr>
          <w:t>Delta Solutions</w:t>
        </w:r>
      </w:hyperlink>
      <w:r w:rsidRPr="00482FF2">
        <w:rPr>
          <w:rFonts w:ascii="Arial" w:eastAsia="MS Mincho" w:hAnsi="Arial" w:cs="Arial"/>
          <w:sz w:val="20"/>
          <w:szCs w:val="20"/>
          <w:lang w:val="it-IT"/>
        </w:rPr>
        <w:t>, tra cui miglioramenti della gestione software e configurazioni modulari avanzate.</w:t>
      </w:r>
    </w:p>
    <w:p w:rsidR="00482FF2" w:rsidRPr="00482FF2" w:rsidRDefault="00482FF2" w:rsidP="00482FF2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482FF2" w:rsidRPr="00482FF2" w:rsidRDefault="00482FF2" w:rsidP="00482FF2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482FF2">
        <w:rPr>
          <w:rFonts w:ascii="Arial" w:eastAsia="MS Mincho" w:hAnsi="Arial" w:cs="Arial"/>
          <w:sz w:val="20"/>
          <w:szCs w:val="20"/>
          <w:lang w:val="it-IT"/>
        </w:rPr>
        <w:t>“Da quando è stato lanciato Delta Solutions all’</w:t>
      </w:r>
      <w:proofErr w:type="spellStart"/>
      <w:r w:rsidRPr="00482FF2">
        <w:rPr>
          <w:rFonts w:ascii="Arial" w:eastAsia="MS Mincho" w:hAnsi="Arial" w:cs="Arial"/>
          <w:sz w:val="20"/>
          <w:szCs w:val="20"/>
          <w:lang w:val="it-IT"/>
        </w:rPr>
        <w:t>Intergeo</w:t>
      </w:r>
      <w:proofErr w:type="spellEnd"/>
      <w:r w:rsidRPr="00482FF2">
        <w:rPr>
          <w:rFonts w:ascii="Arial" w:eastAsia="MS Mincho" w:hAnsi="Arial" w:cs="Arial"/>
          <w:sz w:val="20"/>
          <w:szCs w:val="20"/>
          <w:lang w:val="it-IT"/>
        </w:rPr>
        <w:t xml:space="preserve"> 2016 sono stati installati molti sistemi, perfettamente funzionanti, in tutta Europa e il Nord America”, riferisce </w:t>
      </w:r>
      <w:proofErr w:type="spellStart"/>
      <w:r w:rsidRPr="00482FF2">
        <w:rPr>
          <w:rFonts w:ascii="Arial" w:eastAsia="MS Mincho" w:hAnsi="Arial" w:cs="Arial"/>
          <w:sz w:val="20"/>
          <w:szCs w:val="20"/>
          <w:lang w:val="it-IT"/>
        </w:rPr>
        <w:t>Ian</w:t>
      </w:r>
      <w:proofErr w:type="spellEnd"/>
      <w:r w:rsidRPr="00482FF2">
        <w:rPr>
          <w:rFonts w:ascii="Arial" w:eastAsia="MS Mincho" w:hAnsi="Arial" w:cs="Arial"/>
          <w:sz w:val="20"/>
          <w:szCs w:val="20"/>
          <w:lang w:val="it-IT"/>
        </w:rPr>
        <w:t xml:space="preserve"> Stilgoe, vice presidente GeoPositioning Solutions per l’Europa di Topcon Positioning Group. “Vogliamo partire da questo successo per realizzare nuove funzioni in modo da offrire un pacchetto più completo e una maggiore facilità d’uso”. </w:t>
      </w:r>
    </w:p>
    <w:p w:rsidR="00482FF2" w:rsidRPr="00482FF2" w:rsidRDefault="00482FF2" w:rsidP="00482FF2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482FF2" w:rsidRPr="00482FF2" w:rsidRDefault="00482FF2" w:rsidP="00482FF2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482FF2">
        <w:rPr>
          <w:rFonts w:ascii="Arial" w:eastAsia="MS Mincho" w:hAnsi="Arial" w:cs="Arial"/>
          <w:sz w:val="20"/>
          <w:szCs w:val="20"/>
          <w:lang w:val="it-IT"/>
        </w:rPr>
        <w:t>Delta Watch offre nuove modalità di configurazione basate su stazioni totali robotiche o ricevitori GNSS, con la possibilità di aggiungere sensori di livellamento. “È stato aggiunto un nuovo modulo per consentire di utilizzare tutti e tre i tipi di sensori in un unico sistema di monitoraggio delle deformazioni. I dati rilevati dai sensori Topcon, tra loro combinati in tutti i modi possibili, possono essere elaborati come soluzione di rete compensata”, afferma Stilgoe.</w:t>
      </w:r>
    </w:p>
    <w:p w:rsidR="00482FF2" w:rsidRPr="00482FF2" w:rsidRDefault="00482FF2" w:rsidP="00482FF2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482FF2" w:rsidRPr="00482FF2" w:rsidRDefault="00482FF2" w:rsidP="00482FF2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482FF2">
        <w:rPr>
          <w:rFonts w:ascii="Arial" w:eastAsia="MS Mincho" w:hAnsi="Arial" w:cs="Arial"/>
          <w:sz w:val="20"/>
          <w:szCs w:val="20"/>
          <w:lang w:val="it-IT"/>
        </w:rPr>
        <w:t>Al sistema è stato aggiunto un nuovo modulo opzionale per il monitoraggio dei binari ferroviari. “Questa nuova funzione è stata progettata appositamente per le attività di monitoraggio delle deformazioni delle rotaie per consentire la creazione di sensori virtuali, come la misurazione di sopraelevazioni e sghembi, nonché l’allineamento e il riposizionamento del binario”, spiega Stilgoe.</w:t>
      </w:r>
    </w:p>
    <w:p w:rsidR="00482FF2" w:rsidRPr="00482FF2" w:rsidRDefault="00482FF2" w:rsidP="00482FF2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482FF2" w:rsidRPr="00482FF2" w:rsidRDefault="00482FF2" w:rsidP="00482FF2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482FF2">
        <w:rPr>
          <w:rFonts w:ascii="Arial" w:eastAsia="MS Mincho" w:hAnsi="Arial" w:cs="Arial"/>
          <w:sz w:val="20"/>
          <w:szCs w:val="20"/>
          <w:lang w:val="it-IT"/>
        </w:rPr>
        <w:t>Delta Watch offre ora anche un nuovo modulo di diagnostica per il sistema di monitoraggio che consente agli utenti di verificare le prestazioni e le condizioni dell’hardware interno del sistema di monitoraggio in modo da risolvere problemi operativi e pianificare misure di manutenzione.</w:t>
      </w:r>
    </w:p>
    <w:p w:rsidR="00482FF2" w:rsidRPr="00482FF2" w:rsidRDefault="00482FF2" w:rsidP="00482FF2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482FF2" w:rsidRPr="00482FF2" w:rsidRDefault="00482FF2" w:rsidP="00482FF2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482FF2">
        <w:rPr>
          <w:rFonts w:ascii="Arial" w:eastAsia="MS Mincho" w:hAnsi="Arial" w:cs="Arial"/>
          <w:sz w:val="20"/>
          <w:szCs w:val="20"/>
          <w:lang w:val="it-IT"/>
        </w:rPr>
        <w:t>Gli utenti possono ora scegliere se utilizzare il sistema metrico o statunitense come valore predefinito per le misurazioni.</w:t>
      </w:r>
    </w:p>
    <w:p w:rsidR="009A0BF0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494E6D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Per ulteriori informazioni consultare la pagina </w:t>
      </w:r>
      <w:hyperlink r:id="rId9" w:history="1">
        <w:r w:rsidRPr="009A0BF0">
          <w:rPr>
            <w:rStyle w:val="Collegamentoipertestuale"/>
            <w:rFonts w:ascii="Arial" w:eastAsia="MS Mincho" w:hAnsi="Arial" w:cs="Arial"/>
            <w:sz w:val="20"/>
            <w:szCs w:val="20"/>
            <w:lang w:val="it-IT"/>
          </w:rPr>
          <w:t>topconpositioning.com</w:t>
        </w:r>
      </w:hyperlink>
      <w:r w:rsidRPr="009A0BF0">
        <w:rPr>
          <w:rFonts w:ascii="Arial" w:eastAsia="MS Mincho" w:hAnsi="Arial" w:cs="Arial"/>
          <w:sz w:val="20"/>
          <w:szCs w:val="20"/>
          <w:lang w:val="it-IT"/>
        </w:rPr>
        <w:t>.</w:t>
      </w:r>
    </w:p>
    <w:p w:rsidR="009A0BF0" w:rsidRDefault="009A0BF0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</w:p>
    <w:p w:rsidR="007543F2" w:rsidRPr="002739DA" w:rsidRDefault="007543F2" w:rsidP="00FE7594">
      <w:pPr>
        <w:tabs>
          <w:tab w:val="left" w:pos="270"/>
        </w:tabs>
        <w:rPr>
          <w:rFonts w:ascii="Arial" w:hAnsi="Arial" w:cs="Arial"/>
          <w:color w:val="808080"/>
          <w:sz w:val="14"/>
          <w:szCs w:val="14"/>
          <w:lang w:val="it-IT"/>
        </w:rPr>
      </w:pPr>
      <w:r w:rsidRPr="002739DA">
        <w:rPr>
          <w:rFonts w:ascii="Arial" w:hAnsi="Arial" w:cs="Arial"/>
          <w:b/>
          <w:color w:val="808080"/>
          <w:sz w:val="14"/>
          <w:szCs w:val="14"/>
          <w:lang w:val="it-IT"/>
        </w:rPr>
        <w:t>Informazioni su Topcon Positioning Group</w:t>
      </w:r>
      <w:r w:rsidRPr="002739DA">
        <w:rPr>
          <w:rFonts w:ascii="Arial" w:hAnsi="Arial" w:cs="Arial"/>
          <w:b/>
          <w:color w:val="808080"/>
          <w:sz w:val="14"/>
          <w:szCs w:val="14"/>
          <w:lang w:val="it-IT"/>
        </w:rPr>
        <w:br/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Topcon Positioning Group ha sede a </w:t>
      </w:r>
      <w:proofErr w:type="spellStart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Livermore</w:t>
      </w:r>
      <w:proofErr w:type="spellEnd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, California, USA (</w:t>
      </w:r>
      <w:hyperlink r:id="rId10" w:history="1">
        <w:r w:rsidRPr="002739DA">
          <w:rPr>
            <w:rFonts w:ascii="Arial" w:hAnsi="Arial" w:cs="Arial"/>
            <w:color w:val="808080"/>
            <w:sz w:val="14"/>
            <w:szCs w:val="14"/>
            <w:lang w:val="it-IT"/>
          </w:rPr>
          <w:t>topconpositioning.com</w:t>
        </w:r>
      </w:hyperlink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). La sua sede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centrale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europea </w:t>
      </w:r>
      <w:r w:rsidR="00FE7594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è a </w:t>
      </w:r>
      <w:proofErr w:type="spellStart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Capelle</w:t>
      </w:r>
      <w:proofErr w:type="spellEnd"/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 a/d </w:t>
      </w:r>
      <w:proofErr w:type="spellStart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IJssel</w:t>
      </w:r>
      <w:proofErr w:type="spellEnd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, Paesi Bassi (</w:t>
      </w:r>
      <w:hyperlink r:id="rId11" w:history="1">
        <w:r w:rsidRPr="002739DA">
          <w:rPr>
            <w:rFonts w:ascii="Arial" w:hAnsi="Arial" w:cs="Arial"/>
            <w:color w:val="808080"/>
            <w:sz w:val="14"/>
            <w:szCs w:val="14"/>
            <w:lang w:val="it-IT"/>
          </w:rPr>
          <w:t>topconpositioning.eu</w:t>
        </w:r>
      </w:hyperlink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). Topcon Positioning Group progetta, realizza e distribuisce prodotti e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soluzioni per il posizionamento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di precisione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e soluzioni per il rilevamento globale, edilizia e </w:t>
      </w:r>
      <w:r w:rsidR="001631B8" w:rsidRPr="002739DA">
        <w:rPr>
          <w:rFonts w:ascii="Arial" w:hAnsi="Arial" w:cs="Arial"/>
          <w:color w:val="808080"/>
          <w:sz w:val="14"/>
          <w:szCs w:val="14"/>
          <w:lang w:val="it-IT"/>
        </w:rPr>
        <w:t>costruzioni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, agricoltura, ingegneria civile, BIM, </w:t>
      </w:r>
      <w:r w:rsidR="001631B8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cartografia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e GIS,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>asset management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 e mercati di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>mobile control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>. 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I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suoi marchi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>includono</w:t>
      </w:r>
      <w:r w:rsidR="001631B8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Topcon, Sokkia, </w:t>
      </w:r>
      <w:proofErr w:type="spellStart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Tierra</w:t>
      </w:r>
      <w:proofErr w:type="spellEnd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, Digi-Star, RDS Technologies</w:t>
      </w:r>
      <w:r w:rsidR="00DF6F75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 e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>NORAC. Topcon Corporation (</w:t>
      </w:r>
      <w:hyperlink r:id="rId12" w:history="1">
        <w:r w:rsidRPr="002739DA">
          <w:rPr>
            <w:rFonts w:ascii="Arial" w:hAnsi="Arial" w:cs="Arial"/>
            <w:color w:val="808080"/>
            <w:sz w:val="14"/>
            <w:szCs w:val="14"/>
            <w:lang w:val="it-IT"/>
          </w:rPr>
          <w:t>topcon.com</w:t>
        </w:r>
      </w:hyperlink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), fondata nel 1932, è quotata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alla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>Borsa di Tokyo</w:t>
      </w:r>
      <w:r w:rsidR="00F27E2D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>(7732). </w:t>
      </w:r>
    </w:p>
    <w:p w:rsidR="00482FF2" w:rsidRDefault="00482FF2" w:rsidP="009A0BF0">
      <w:pPr>
        <w:tabs>
          <w:tab w:val="left" w:pos="270"/>
        </w:tabs>
        <w:jc w:val="center"/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E92FC2" w:rsidRPr="00E92FC2" w:rsidRDefault="00E92FC2" w:rsidP="009A0BF0">
      <w:pPr>
        <w:tabs>
          <w:tab w:val="left" w:pos="270"/>
        </w:tabs>
        <w:jc w:val="center"/>
        <w:rPr>
          <w:rFonts w:ascii="Arial" w:hAnsi="Arial"/>
          <w:b/>
          <w:color w:val="808080"/>
          <w:sz w:val="16"/>
          <w:szCs w:val="18"/>
          <w:lang w:val="it-IT"/>
        </w:rPr>
      </w:pPr>
      <w:r w:rsidRPr="00E92FC2">
        <w:rPr>
          <w:rFonts w:ascii="Arial" w:hAnsi="Arial"/>
          <w:b/>
          <w:color w:val="808080"/>
          <w:sz w:val="16"/>
          <w:szCs w:val="18"/>
          <w:lang w:val="it-IT"/>
        </w:rPr>
        <w:t># # #</w:t>
      </w:r>
    </w:p>
    <w:p w:rsidR="007543F2" w:rsidRPr="00B6522C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b/>
          <w:color w:val="808080"/>
          <w:sz w:val="14"/>
          <w:szCs w:val="18"/>
          <w:lang w:val="it-IT"/>
        </w:rPr>
        <w:t>Informazioni stampa</w:t>
      </w:r>
    </w:p>
    <w:p w:rsidR="007543F2" w:rsidRPr="00482FF2" w:rsidRDefault="007543F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482FF2">
        <w:rPr>
          <w:rFonts w:ascii="Arial" w:hAnsi="Arial"/>
          <w:color w:val="808080"/>
          <w:sz w:val="14"/>
          <w:szCs w:val="18"/>
          <w:lang w:val="it-IT"/>
        </w:rPr>
        <w:t>Topcon Positioning Group</w:t>
      </w:r>
    </w:p>
    <w:p w:rsidR="006B1D22" w:rsidRPr="00482FF2" w:rsidRDefault="007D4DC6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hyperlink r:id="rId13" w:history="1">
        <w:r w:rsidR="006B1D22" w:rsidRPr="00482FF2">
          <w:rPr>
            <w:rStyle w:val="Collegamentoipertestuale"/>
            <w:rFonts w:ascii="Arial" w:hAnsi="Arial"/>
            <w:sz w:val="14"/>
            <w:szCs w:val="18"/>
            <w:lang w:val="it-IT"/>
          </w:rPr>
          <w:t>CorpComm@topcon.com</w:t>
        </w:r>
      </w:hyperlink>
    </w:p>
    <w:p w:rsidR="006B1D22" w:rsidRPr="006B1D22" w:rsidRDefault="006B1D22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6B1D22">
        <w:rPr>
          <w:rFonts w:ascii="Arial" w:hAnsi="Arial"/>
          <w:color w:val="808080"/>
          <w:sz w:val="14"/>
          <w:szCs w:val="18"/>
          <w:lang w:val="it-IT"/>
        </w:rPr>
        <w:t>USA: Staci Fitzgerald, +1 925-245-8610</w:t>
      </w:r>
    </w:p>
    <w:p w:rsidR="006B1D22" w:rsidRPr="006B1D22" w:rsidRDefault="006B1D22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6B1D22">
        <w:rPr>
          <w:rFonts w:ascii="Arial" w:hAnsi="Arial"/>
          <w:color w:val="808080"/>
          <w:sz w:val="14"/>
          <w:szCs w:val="18"/>
          <w:lang w:val="it-IT"/>
        </w:rPr>
        <w:t>Europe: Stuart Proctor, +31 10 458 50 77</w:t>
      </w:r>
      <w:r w:rsidR="009D63D1">
        <w:rPr>
          <w:rFonts w:ascii="Arial" w:hAnsi="Arial"/>
          <w:color w:val="808080"/>
          <w:sz w:val="14"/>
          <w:szCs w:val="18"/>
          <w:lang w:val="it-IT"/>
        </w:rPr>
        <w:t>+</w:t>
      </w:r>
    </w:p>
    <w:p w:rsidR="00E92FC2" w:rsidRPr="002739DA" w:rsidRDefault="001631B8" w:rsidP="00733E9B">
      <w:pPr>
        <w:tabs>
          <w:tab w:val="left" w:pos="270"/>
        </w:tabs>
        <w:rPr>
          <w:rFonts w:ascii="Arial" w:hAnsi="Arial" w:cs="Arial"/>
          <w:color w:val="808080"/>
          <w:sz w:val="14"/>
          <w:szCs w:val="14"/>
        </w:rPr>
      </w:pPr>
      <w:r w:rsidRPr="002739DA">
        <w:rPr>
          <w:rFonts w:ascii="Arial" w:hAnsi="Arial" w:cs="Arial"/>
          <w:color w:val="808080"/>
          <w:sz w:val="14"/>
          <w:szCs w:val="14"/>
        </w:rPr>
        <w:t>Italia: Massimiliano Toppi</w:t>
      </w:r>
      <w:r w:rsidR="00733E9B" w:rsidRPr="002739DA">
        <w:rPr>
          <w:rFonts w:ascii="Arial" w:hAnsi="Arial" w:cs="Arial"/>
          <w:color w:val="808080"/>
          <w:sz w:val="14"/>
          <w:szCs w:val="14"/>
        </w:rPr>
        <w:t xml:space="preserve">, </w:t>
      </w:r>
      <w:r w:rsidR="007543F2" w:rsidRPr="002739DA">
        <w:rPr>
          <w:rFonts w:ascii="Arial" w:hAnsi="Arial" w:cs="Arial"/>
          <w:color w:val="808080"/>
          <w:sz w:val="14"/>
          <w:szCs w:val="14"/>
        </w:rPr>
        <w:t>+</w:t>
      </w:r>
      <w:r w:rsidRPr="002739DA">
        <w:rPr>
          <w:rFonts w:ascii="Arial" w:hAnsi="Arial" w:cs="Arial"/>
          <w:color w:val="808080"/>
          <w:sz w:val="14"/>
          <w:szCs w:val="14"/>
        </w:rPr>
        <w:t>39 071 213 25 211</w:t>
      </w:r>
      <w:bookmarkStart w:id="0" w:name="_GoBack"/>
      <w:bookmarkEnd w:id="0"/>
    </w:p>
    <w:sectPr w:rsidR="00E92FC2" w:rsidRPr="002739DA" w:rsidSect="0009234C">
      <w:headerReference w:type="first" r:id="rId14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DC6" w:rsidRDefault="007D4DC6">
      <w:r>
        <w:separator/>
      </w:r>
    </w:p>
  </w:endnote>
  <w:endnote w:type="continuationSeparator" w:id="0">
    <w:p w:rsidR="007D4DC6" w:rsidRDefault="007D4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DC6" w:rsidRDefault="007D4DC6">
      <w:r>
        <w:separator/>
      </w:r>
    </w:p>
  </w:footnote>
  <w:footnote w:type="continuationSeparator" w:id="0">
    <w:p w:rsidR="007D4DC6" w:rsidRDefault="007D4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F2" w:rsidRPr="00EB1000" w:rsidRDefault="007D4DC6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7543F2" w:rsidRPr="00EB1000" w:rsidRDefault="007543F2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7543F2" w:rsidRPr="001A276A" w:rsidRDefault="007543F2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E5B"/>
    <w:rsid w:val="00006C61"/>
    <w:rsid w:val="00015300"/>
    <w:rsid w:val="000418C2"/>
    <w:rsid w:val="0006687C"/>
    <w:rsid w:val="00072564"/>
    <w:rsid w:val="00073328"/>
    <w:rsid w:val="000872FF"/>
    <w:rsid w:val="0009234C"/>
    <w:rsid w:val="000A44F4"/>
    <w:rsid w:val="000A7766"/>
    <w:rsid w:val="000B5413"/>
    <w:rsid w:val="000C3C4C"/>
    <w:rsid w:val="000C6429"/>
    <w:rsid w:val="000D117E"/>
    <w:rsid w:val="000F33B4"/>
    <w:rsid w:val="000F6602"/>
    <w:rsid w:val="00105D3C"/>
    <w:rsid w:val="0011388C"/>
    <w:rsid w:val="00120A84"/>
    <w:rsid w:val="00156868"/>
    <w:rsid w:val="00160C6E"/>
    <w:rsid w:val="001631B8"/>
    <w:rsid w:val="00163F32"/>
    <w:rsid w:val="00165ADA"/>
    <w:rsid w:val="00167650"/>
    <w:rsid w:val="001768DB"/>
    <w:rsid w:val="00177523"/>
    <w:rsid w:val="00183774"/>
    <w:rsid w:val="001855FB"/>
    <w:rsid w:val="001A276A"/>
    <w:rsid w:val="001A5950"/>
    <w:rsid w:val="001B6BA0"/>
    <w:rsid w:val="001C2321"/>
    <w:rsid w:val="001D47AE"/>
    <w:rsid w:val="001E495F"/>
    <w:rsid w:val="001F02F7"/>
    <w:rsid w:val="001F7D21"/>
    <w:rsid w:val="00211CAC"/>
    <w:rsid w:val="0021353A"/>
    <w:rsid w:val="00220127"/>
    <w:rsid w:val="00221DC0"/>
    <w:rsid w:val="00234742"/>
    <w:rsid w:val="002377E8"/>
    <w:rsid w:val="00245A11"/>
    <w:rsid w:val="00265C21"/>
    <w:rsid w:val="00267859"/>
    <w:rsid w:val="00271A5B"/>
    <w:rsid w:val="002739DA"/>
    <w:rsid w:val="002751AA"/>
    <w:rsid w:val="00283421"/>
    <w:rsid w:val="00284512"/>
    <w:rsid w:val="002A0183"/>
    <w:rsid w:val="002A3171"/>
    <w:rsid w:val="002A6605"/>
    <w:rsid w:val="002B2158"/>
    <w:rsid w:val="002B2CC9"/>
    <w:rsid w:val="002B65A9"/>
    <w:rsid w:val="002B673A"/>
    <w:rsid w:val="002E2BC8"/>
    <w:rsid w:val="002E5E21"/>
    <w:rsid w:val="002F1192"/>
    <w:rsid w:val="002F294D"/>
    <w:rsid w:val="00313F6E"/>
    <w:rsid w:val="0032173B"/>
    <w:rsid w:val="003217F4"/>
    <w:rsid w:val="003243DB"/>
    <w:rsid w:val="00340920"/>
    <w:rsid w:val="00353911"/>
    <w:rsid w:val="00355294"/>
    <w:rsid w:val="003801D4"/>
    <w:rsid w:val="00382D99"/>
    <w:rsid w:val="0039761D"/>
    <w:rsid w:val="003A6C06"/>
    <w:rsid w:val="003A7243"/>
    <w:rsid w:val="003B1941"/>
    <w:rsid w:val="003B49D6"/>
    <w:rsid w:val="003C6648"/>
    <w:rsid w:val="003F1016"/>
    <w:rsid w:val="003F134C"/>
    <w:rsid w:val="003F5E34"/>
    <w:rsid w:val="004069A1"/>
    <w:rsid w:val="00413E95"/>
    <w:rsid w:val="00416269"/>
    <w:rsid w:val="004265BD"/>
    <w:rsid w:val="0043387D"/>
    <w:rsid w:val="00433A38"/>
    <w:rsid w:val="00471166"/>
    <w:rsid w:val="00481F37"/>
    <w:rsid w:val="00482FF2"/>
    <w:rsid w:val="00494E6D"/>
    <w:rsid w:val="004B7FF8"/>
    <w:rsid w:val="004C2A52"/>
    <w:rsid w:val="004D1952"/>
    <w:rsid w:val="004E5E69"/>
    <w:rsid w:val="005046A6"/>
    <w:rsid w:val="00513E5B"/>
    <w:rsid w:val="005143FF"/>
    <w:rsid w:val="005378E1"/>
    <w:rsid w:val="005502C7"/>
    <w:rsid w:val="0058710D"/>
    <w:rsid w:val="005876E5"/>
    <w:rsid w:val="00587A94"/>
    <w:rsid w:val="005A23A0"/>
    <w:rsid w:val="005A4B01"/>
    <w:rsid w:val="005A6A52"/>
    <w:rsid w:val="005C44F8"/>
    <w:rsid w:val="005C48E8"/>
    <w:rsid w:val="005F0C86"/>
    <w:rsid w:val="005F3D0B"/>
    <w:rsid w:val="005F528E"/>
    <w:rsid w:val="006103A4"/>
    <w:rsid w:val="0061068D"/>
    <w:rsid w:val="006112E8"/>
    <w:rsid w:val="0061580F"/>
    <w:rsid w:val="00617F10"/>
    <w:rsid w:val="00622524"/>
    <w:rsid w:val="006274D0"/>
    <w:rsid w:val="00636220"/>
    <w:rsid w:val="00637E81"/>
    <w:rsid w:val="0064309C"/>
    <w:rsid w:val="0064436B"/>
    <w:rsid w:val="006446C6"/>
    <w:rsid w:val="00644A87"/>
    <w:rsid w:val="006456AE"/>
    <w:rsid w:val="00653C74"/>
    <w:rsid w:val="00677745"/>
    <w:rsid w:val="006926B3"/>
    <w:rsid w:val="006936D5"/>
    <w:rsid w:val="006B1D22"/>
    <w:rsid w:val="006B2A9A"/>
    <w:rsid w:val="006D3432"/>
    <w:rsid w:val="006E05C2"/>
    <w:rsid w:val="006E6D5C"/>
    <w:rsid w:val="007030FC"/>
    <w:rsid w:val="00711ACF"/>
    <w:rsid w:val="00733E9B"/>
    <w:rsid w:val="00740646"/>
    <w:rsid w:val="007530F6"/>
    <w:rsid w:val="007543F2"/>
    <w:rsid w:val="00756005"/>
    <w:rsid w:val="007605FA"/>
    <w:rsid w:val="00765F8C"/>
    <w:rsid w:val="00773A4C"/>
    <w:rsid w:val="0078639E"/>
    <w:rsid w:val="0079310B"/>
    <w:rsid w:val="007B3233"/>
    <w:rsid w:val="007C481B"/>
    <w:rsid w:val="007D26FD"/>
    <w:rsid w:val="007D4DC6"/>
    <w:rsid w:val="00807720"/>
    <w:rsid w:val="00810DE0"/>
    <w:rsid w:val="008141F4"/>
    <w:rsid w:val="008205DE"/>
    <w:rsid w:val="00832E9A"/>
    <w:rsid w:val="00836E5C"/>
    <w:rsid w:val="00846CEF"/>
    <w:rsid w:val="00853C9A"/>
    <w:rsid w:val="00870D37"/>
    <w:rsid w:val="008802C4"/>
    <w:rsid w:val="00891FF7"/>
    <w:rsid w:val="008962D4"/>
    <w:rsid w:val="008B2866"/>
    <w:rsid w:val="008D0202"/>
    <w:rsid w:val="008E0F3F"/>
    <w:rsid w:val="008E6E77"/>
    <w:rsid w:val="008E6FD9"/>
    <w:rsid w:val="008F30B4"/>
    <w:rsid w:val="008F54A3"/>
    <w:rsid w:val="00904F34"/>
    <w:rsid w:val="009434F4"/>
    <w:rsid w:val="00945FCB"/>
    <w:rsid w:val="00956EF7"/>
    <w:rsid w:val="00963EA7"/>
    <w:rsid w:val="009666D5"/>
    <w:rsid w:val="00975493"/>
    <w:rsid w:val="009864E1"/>
    <w:rsid w:val="009964DE"/>
    <w:rsid w:val="009A0BF0"/>
    <w:rsid w:val="009C441F"/>
    <w:rsid w:val="009D22F7"/>
    <w:rsid w:val="009D63D1"/>
    <w:rsid w:val="00A02B51"/>
    <w:rsid w:val="00A06D66"/>
    <w:rsid w:val="00A25B25"/>
    <w:rsid w:val="00A32C8A"/>
    <w:rsid w:val="00A47E24"/>
    <w:rsid w:val="00A56366"/>
    <w:rsid w:val="00A57BD4"/>
    <w:rsid w:val="00A60195"/>
    <w:rsid w:val="00A630ED"/>
    <w:rsid w:val="00A71326"/>
    <w:rsid w:val="00A9365C"/>
    <w:rsid w:val="00A976A5"/>
    <w:rsid w:val="00AA2A43"/>
    <w:rsid w:val="00AB634E"/>
    <w:rsid w:val="00AC09BA"/>
    <w:rsid w:val="00AC348B"/>
    <w:rsid w:val="00AE6481"/>
    <w:rsid w:val="00B35AF9"/>
    <w:rsid w:val="00B402B7"/>
    <w:rsid w:val="00B4058E"/>
    <w:rsid w:val="00B6522C"/>
    <w:rsid w:val="00B92736"/>
    <w:rsid w:val="00B92C56"/>
    <w:rsid w:val="00B92CFE"/>
    <w:rsid w:val="00BA7B94"/>
    <w:rsid w:val="00BB19B5"/>
    <w:rsid w:val="00BB25D3"/>
    <w:rsid w:val="00BB4455"/>
    <w:rsid w:val="00BC6358"/>
    <w:rsid w:val="00BD71D0"/>
    <w:rsid w:val="00BE12FA"/>
    <w:rsid w:val="00BE45B1"/>
    <w:rsid w:val="00BE5DE2"/>
    <w:rsid w:val="00BF37F1"/>
    <w:rsid w:val="00C01690"/>
    <w:rsid w:val="00C03ADA"/>
    <w:rsid w:val="00C05C01"/>
    <w:rsid w:val="00C31391"/>
    <w:rsid w:val="00C321DA"/>
    <w:rsid w:val="00C638D1"/>
    <w:rsid w:val="00C7597C"/>
    <w:rsid w:val="00C81D46"/>
    <w:rsid w:val="00C90333"/>
    <w:rsid w:val="00C92C21"/>
    <w:rsid w:val="00CA3A4A"/>
    <w:rsid w:val="00CB2E2B"/>
    <w:rsid w:val="00CB56B2"/>
    <w:rsid w:val="00CC7047"/>
    <w:rsid w:val="00CD3455"/>
    <w:rsid w:val="00CE188F"/>
    <w:rsid w:val="00CE7843"/>
    <w:rsid w:val="00CF403B"/>
    <w:rsid w:val="00CF7FC5"/>
    <w:rsid w:val="00D23DE9"/>
    <w:rsid w:val="00D47414"/>
    <w:rsid w:val="00D507F3"/>
    <w:rsid w:val="00D55832"/>
    <w:rsid w:val="00D62F76"/>
    <w:rsid w:val="00D6369D"/>
    <w:rsid w:val="00D644FE"/>
    <w:rsid w:val="00D647FC"/>
    <w:rsid w:val="00D672DA"/>
    <w:rsid w:val="00D6784A"/>
    <w:rsid w:val="00D70AF0"/>
    <w:rsid w:val="00D70EE2"/>
    <w:rsid w:val="00D77EFF"/>
    <w:rsid w:val="00D91CF0"/>
    <w:rsid w:val="00D979CB"/>
    <w:rsid w:val="00DC60A0"/>
    <w:rsid w:val="00DF6F75"/>
    <w:rsid w:val="00E07F73"/>
    <w:rsid w:val="00E16158"/>
    <w:rsid w:val="00E32B47"/>
    <w:rsid w:val="00E32B6A"/>
    <w:rsid w:val="00E50CAB"/>
    <w:rsid w:val="00E779E6"/>
    <w:rsid w:val="00E92FC2"/>
    <w:rsid w:val="00EA109C"/>
    <w:rsid w:val="00EB1000"/>
    <w:rsid w:val="00EB13E2"/>
    <w:rsid w:val="00ED70D3"/>
    <w:rsid w:val="00EE241D"/>
    <w:rsid w:val="00EE33D2"/>
    <w:rsid w:val="00EE65B5"/>
    <w:rsid w:val="00F27E2D"/>
    <w:rsid w:val="00F463E2"/>
    <w:rsid w:val="00F55F20"/>
    <w:rsid w:val="00F60590"/>
    <w:rsid w:val="00F757D3"/>
    <w:rsid w:val="00F81B4F"/>
    <w:rsid w:val="00F86AB9"/>
    <w:rsid w:val="00F86B3B"/>
    <w:rsid w:val="00F92EFE"/>
    <w:rsid w:val="00F94B69"/>
    <w:rsid w:val="00F94E58"/>
    <w:rsid w:val="00FA3772"/>
    <w:rsid w:val="00FB0DA8"/>
    <w:rsid w:val="00FB146B"/>
    <w:rsid w:val="00FB4CB7"/>
    <w:rsid w:val="00FB613D"/>
    <w:rsid w:val="00FD032D"/>
    <w:rsid w:val="00FD070E"/>
    <w:rsid w:val="00FD6101"/>
    <w:rsid w:val="00FE0421"/>
    <w:rsid w:val="00FE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047B8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zh-TW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3F1016"/>
    <w:rPr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3F10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B5400B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3F10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400B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3F10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400B"/>
    <w:rPr>
      <w:sz w:val="24"/>
      <w:szCs w:val="24"/>
      <w:lang w:val="en-US" w:eastAsia="en-US"/>
    </w:rPr>
  </w:style>
  <w:style w:type="character" w:styleId="Numeropagina">
    <w:name w:val="page number"/>
    <w:uiPriority w:val="99"/>
    <w:rsid w:val="003F1016"/>
    <w:rPr>
      <w:rFonts w:cs="Times New Roman"/>
    </w:rPr>
  </w:style>
  <w:style w:type="paragraph" w:styleId="NormaleWeb">
    <w:name w:val="Normal (Web)"/>
    <w:basedOn w:val="Normale"/>
    <w:uiPriority w:val="99"/>
    <w:rsid w:val="003F1016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rsid w:val="003F1016"/>
    <w:rPr>
      <w:rFonts w:cs="Times New Roman"/>
      <w:color w:val="0000FF"/>
      <w:u w:val="single"/>
    </w:rPr>
  </w:style>
  <w:style w:type="character" w:styleId="Collegamentovisitato">
    <w:name w:val="FollowedHyperlink"/>
    <w:uiPriority w:val="99"/>
    <w:semiHidden/>
    <w:rsid w:val="0061580F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software-solutions/monitoring-software/delta-solutions" TargetMode="External"/><Relationship Id="rId13" Type="http://schemas.openxmlformats.org/officeDocument/2006/relationships/hyperlink" Target="mailto:CorpComm@topcon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global.topcon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pconpositioning.e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topconpositioning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opconpositioning.com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2017-03-16T15:40:00Z</dcterms:created>
  <dcterms:modified xsi:type="dcterms:W3CDTF">2017-10-04T07:58:00Z</dcterms:modified>
</cp:coreProperties>
</file>